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附件：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  <w:bookmarkStart w:id="0" w:name="_GoBack"/>
      <w:r>
        <w:rPr>
          <w:rFonts w:hint="eastAsia"/>
          <w:b/>
          <w:sz w:val="32"/>
          <w:szCs w:val="32"/>
        </w:rPr>
        <w:t>《2022世界</w:t>
      </w:r>
      <w:r>
        <w:rPr>
          <w:b/>
          <w:sz w:val="32"/>
          <w:szCs w:val="32"/>
        </w:rPr>
        <w:t>休闲体育论文报告会</w:t>
      </w:r>
      <w:r>
        <w:rPr>
          <w:rFonts w:hint="eastAsia"/>
          <w:b/>
          <w:sz w:val="32"/>
          <w:szCs w:val="32"/>
        </w:rPr>
        <w:t>》征文指南</w:t>
      </w:r>
      <w:bookmarkEnd w:id="0"/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征文指南并非论文题目,仅为选题提供参考,应征者可从不同层面、不同视角确定具体论文题目。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休闲体育基础理论研究</w:t>
      </w:r>
    </w:p>
    <w:p>
      <w:pPr>
        <w:spacing w:line="360" w:lineRule="auto"/>
        <w:ind w:left="48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体育健身与生活方式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运动休闲与生活方式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休闲体育理论研究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休闲体育与民族传统体育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休闲体育与社会发展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休闲体育国际经验借鉴</w:t>
      </w:r>
    </w:p>
    <w:p>
      <w:pPr>
        <w:spacing w:line="360" w:lineRule="auto"/>
        <w:ind w:left="48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二、体育产业与消费研究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7.</w:t>
      </w:r>
      <w:r>
        <w:rPr>
          <w:rFonts w:hint="eastAsia" w:ascii="宋体" w:hAnsi="宋体" w:cs="宋体"/>
          <w:sz w:val="24"/>
        </w:rPr>
        <w:t>休闲体育产业与区域发展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休闲体育消费与体育公共服务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体育旅游产业发展与体育旅游产品开发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0.</w:t>
      </w:r>
      <w:r>
        <w:rPr>
          <w:rFonts w:hint="eastAsia" w:ascii="宋体" w:hAnsi="宋体" w:cs="宋体"/>
          <w:sz w:val="24"/>
        </w:rPr>
        <w:t>户外运动休闲理论与实践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青少年与儿童的体育培训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休闲体育项目开发与实践</w:t>
      </w:r>
    </w:p>
    <w:p>
      <w:pPr>
        <w:spacing w:line="360" w:lineRule="auto"/>
        <w:ind w:left="48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三、高校与青少年体育研究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13.</w:t>
      </w:r>
      <w:r>
        <w:rPr>
          <w:rFonts w:hint="eastAsia" w:ascii="宋体" w:hAnsi="宋体" w:cs="宋体"/>
          <w:sz w:val="24"/>
        </w:rPr>
        <w:t>高校体育教学改革理论与实践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4.</w:t>
      </w:r>
      <w:r>
        <w:rPr>
          <w:rFonts w:hint="eastAsia" w:ascii="宋体" w:hAnsi="宋体" w:cs="宋体"/>
          <w:sz w:val="24"/>
        </w:rPr>
        <w:t>休闲体育、社会体育专业建设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“双减后”中小学体育改革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16.</w:t>
      </w:r>
      <w:r>
        <w:rPr>
          <w:rFonts w:hint="eastAsia" w:ascii="宋体" w:hAnsi="宋体" w:cs="宋体"/>
          <w:sz w:val="24"/>
        </w:rPr>
        <w:t>青少年休闲体育教育与展望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7.</w:t>
      </w:r>
      <w:r>
        <w:rPr>
          <w:rFonts w:hint="eastAsia" w:ascii="宋体" w:hAnsi="宋体" w:cs="宋体"/>
          <w:sz w:val="24"/>
        </w:rPr>
        <w:t>休闲体育特定群体研究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8.</w:t>
      </w:r>
      <w:r>
        <w:rPr>
          <w:rFonts w:hint="eastAsia" w:ascii="宋体" w:hAnsi="宋体" w:cs="宋体"/>
          <w:sz w:val="24"/>
        </w:rPr>
        <w:t>其他相关研究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B14C47"/>
    <w:multiLevelType w:val="multilevel"/>
    <w:tmpl w:val="72B14C47"/>
    <w:lvl w:ilvl="0" w:tentative="0">
      <w:start w:val="1"/>
      <w:numFmt w:val="japaneseCounting"/>
      <w:lvlText w:val="%1、"/>
      <w:lvlJc w:val="left"/>
      <w:pPr>
        <w:ind w:left="992" w:hanging="51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jQ1NDY0YmRiYmRkZTkzYzM2MzEzNjZjNTllODkifQ=="/>
  </w:docVars>
  <w:rsids>
    <w:rsidRoot w:val="00000000"/>
    <w:rsid w:val="21C2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2022-07-05T06:32:26Z</dcterms:created>
  <dc:creator>admin</dc:creator>
  <cp:lastModifiedBy>Z@B</cp:lastModifiedBy>
  <dcterms:modified xsi:type="dcterms:W3CDTF">2022-07-05T06:32:41Z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0BC85FE516F34EF3879B9187D59F95A3</vt:lpwstr>
  </property>
</Properties>
</file>